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rsidR="00B63CEA" w:rsidRPr="00B4009A" w:rsidRDefault="00CC2407" w:rsidP="000714A5">
      <w:pPr>
        <w:pStyle w:val="PRDate"/>
        <w:rPr>
          <w:b/>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4768215</wp:posOffset>
                </wp:positionH>
                <wp:positionV relativeFrom="paragraph">
                  <wp:posOffset>2540</wp:posOffset>
                </wp:positionV>
                <wp:extent cx="1828800" cy="15525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25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4C21C4"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F70A92"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A71C18">
        <w:rPr>
          <w:b/>
          <w:noProof/>
          <w:sz w:val="24"/>
          <w:szCs w:val="24"/>
        </w:rPr>
        <w:t>July 17, 2018</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A71C18" w:rsidRDefault="00A71C18" w:rsidP="00DD1D0E">
      <w:pPr>
        <w:spacing w:line="400" w:lineRule="exact"/>
        <w:rPr>
          <w:b/>
          <w:i/>
          <w:sz w:val="40"/>
          <w:szCs w:val="40"/>
        </w:rPr>
      </w:pPr>
    </w:p>
    <w:p w:rsidR="00DD1D0E" w:rsidRPr="00DD1D0E" w:rsidRDefault="00A71C18" w:rsidP="00DD1D0E">
      <w:pPr>
        <w:spacing w:line="400" w:lineRule="exact"/>
        <w:rPr>
          <w:b/>
          <w:i/>
          <w:sz w:val="40"/>
          <w:szCs w:val="40"/>
        </w:rPr>
      </w:pPr>
      <w:r>
        <w:rPr>
          <w:b/>
          <w:i/>
          <w:sz w:val="40"/>
          <w:szCs w:val="40"/>
        </w:rPr>
        <w:t>MHA Energy Management Green Awards</w:t>
      </w:r>
    </w:p>
    <w:p w:rsidR="00A71C18" w:rsidRDefault="00A71C18" w:rsidP="00A71C18">
      <w:pPr>
        <w:spacing w:after="0" w:line="240" w:lineRule="auto"/>
        <w:rPr>
          <w:rFonts w:ascii="Palatino Linotype" w:hAnsi="Palatino Linotype"/>
          <w:b/>
          <w:sz w:val="24"/>
          <w:szCs w:val="24"/>
        </w:rPr>
      </w:pPr>
    </w:p>
    <w:p w:rsidR="00A71C18" w:rsidRPr="00A71C18" w:rsidRDefault="00DD1D0E" w:rsidP="00A71C18">
      <w:pPr>
        <w:spacing w:after="0" w:line="240" w:lineRule="auto"/>
        <w:jc w:val="both"/>
        <w:rPr>
          <w:rFonts w:ascii="Palatino Linotype" w:hAnsi="Palatino Linotype" w:cs="Arial"/>
          <w:sz w:val="24"/>
          <w:szCs w:val="24"/>
        </w:rPr>
      </w:pPr>
      <w:r w:rsidRPr="00A71C18">
        <w:rPr>
          <w:rFonts w:ascii="Palatino Linotype" w:hAnsi="Palatino Linotype"/>
          <w:b/>
          <w:sz w:val="24"/>
          <w:szCs w:val="24"/>
        </w:rPr>
        <w:t xml:space="preserve">(Strathroy, ON) </w:t>
      </w:r>
      <w:r w:rsidR="00B25425" w:rsidRPr="00A71C18">
        <w:rPr>
          <w:rFonts w:ascii="Palatino Linotype" w:hAnsi="Palatino Linotype"/>
          <w:b/>
          <w:sz w:val="24"/>
          <w:szCs w:val="24"/>
        </w:rPr>
        <w:t>–</w:t>
      </w:r>
      <w:r w:rsidRPr="00A71C18">
        <w:rPr>
          <w:rFonts w:ascii="Palatino Linotype" w:hAnsi="Palatino Linotype"/>
          <w:b/>
          <w:sz w:val="24"/>
          <w:szCs w:val="24"/>
        </w:rPr>
        <w:t xml:space="preserve"> </w:t>
      </w:r>
      <w:r w:rsidR="00A71C18" w:rsidRPr="00A71C18">
        <w:rPr>
          <w:rFonts w:ascii="Palatino Linotype" w:hAnsi="Palatino Linotype" w:cs="Arial"/>
          <w:sz w:val="24"/>
          <w:szCs w:val="24"/>
        </w:rPr>
        <w:t>The Province of Ontario introduced the Green Hospital Scorecard program in 2013.  Under this program, Hospitals are able to achieve Green Hospital Awards based on performance in different categories and by Hospital peer groups.</w:t>
      </w:r>
    </w:p>
    <w:p w:rsidR="00A71C18" w:rsidRPr="00A71C18" w:rsidRDefault="00A71C18" w:rsidP="00A71C18">
      <w:pPr>
        <w:spacing w:after="0" w:line="240" w:lineRule="auto"/>
        <w:jc w:val="both"/>
        <w:rPr>
          <w:rFonts w:ascii="Palatino Linotype" w:hAnsi="Palatino Linotype" w:cs="Arial"/>
          <w:sz w:val="24"/>
          <w:szCs w:val="24"/>
        </w:rPr>
      </w:pPr>
    </w:p>
    <w:p w:rsidR="00A71C18" w:rsidRPr="00A71C18" w:rsidRDefault="00A71C18" w:rsidP="00A71C18">
      <w:pPr>
        <w:spacing w:after="0" w:line="240" w:lineRule="auto"/>
        <w:jc w:val="both"/>
        <w:rPr>
          <w:rFonts w:ascii="Palatino Linotype" w:hAnsi="Palatino Linotype" w:cs="Arial"/>
          <w:sz w:val="24"/>
          <w:szCs w:val="24"/>
        </w:rPr>
      </w:pPr>
      <w:r w:rsidRPr="00A71C18">
        <w:rPr>
          <w:rFonts w:ascii="Palatino Linotype" w:hAnsi="Palatino Linotype" w:cs="Arial"/>
          <w:sz w:val="24"/>
          <w:szCs w:val="24"/>
        </w:rPr>
        <w:t>Starting in 2015, the MHA made a commitment to work toward energy reduction and efficiency at both of its sites.  Beyond reduced operating costs, there are many benefits that result from improved energy efficiency: more comfortable spaces for patients and staff, producing fewer polluting emissions, etc.  A. Smith</w:t>
      </w:r>
      <w:r w:rsidR="00F70A92">
        <w:rPr>
          <w:rFonts w:ascii="Palatino Linotype" w:hAnsi="Palatino Linotype" w:cs="Arial"/>
          <w:sz w:val="24"/>
          <w:szCs w:val="24"/>
        </w:rPr>
        <w:t>,</w:t>
      </w:r>
      <w:r w:rsidRPr="00A71C18">
        <w:rPr>
          <w:rFonts w:ascii="Palatino Linotype" w:hAnsi="Palatino Linotype" w:cs="Arial"/>
          <w:sz w:val="24"/>
          <w:szCs w:val="24"/>
        </w:rPr>
        <w:t xml:space="preserve"> MHA VP Finance &amp; CFO commented</w:t>
      </w:r>
      <w:r w:rsidR="00F70A92">
        <w:rPr>
          <w:rFonts w:ascii="Palatino Linotype" w:hAnsi="Palatino Linotype" w:cs="Arial"/>
          <w:sz w:val="24"/>
          <w:szCs w:val="24"/>
        </w:rPr>
        <w:t xml:space="preserve"> that,</w:t>
      </w:r>
      <w:r w:rsidRPr="00A71C18">
        <w:rPr>
          <w:rFonts w:ascii="Palatino Linotype" w:hAnsi="Palatino Linotype" w:cs="Arial"/>
          <w:sz w:val="24"/>
          <w:szCs w:val="24"/>
        </w:rPr>
        <w:t xml:space="preserve"> </w:t>
      </w:r>
      <w:r w:rsidR="00F70A92">
        <w:rPr>
          <w:rFonts w:ascii="Palatino Linotype" w:hAnsi="Palatino Linotype" w:cs="Arial"/>
          <w:sz w:val="24"/>
          <w:szCs w:val="24"/>
        </w:rPr>
        <w:t>“</w:t>
      </w:r>
      <w:r w:rsidRPr="00A71C18">
        <w:rPr>
          <w:rFonts w:ascii="Palatino Linotype" w:hAnsi="Palatino Linotype" w:cs="Arial"/>
          <w:sz w:val="24"/>
          <w:szCs w:val="24"/>
        </w:rPr>
        <w:t>both the Strathroy and Four Counties sites are demonstrating strong leadership in becoming more energy efficient.  MHA will continue to explore additional opportunities to be leaders in energy reduction”</w:t>
      </w:r>
      <w:r w:rsidR="004C21C4">
        <w:rPr>
          <w:rFonts w:ascii="Palatino Linotype" w:hAnsi="Palatino Linotype" w:cs="Arial"/>
          <w:sz w:val="24"/>
          <w:szCs w:val="24"/>
        </w:rPr>
        <w:t>.</w:t>
      </w:r>
      <w:bookmarkStart w:id="0" w:name="_GoBack"/>
      <w:bookmarkEnd w:id="0"/>
    </w:p>
    <w:p w:rsidR="00A71C18" w:rsidRPr="00A71C18" w:rsidRDefault="00A71C18" w:rsidP="00A71C18">
      <w:pPr>
        <w:spacing w:after="0" w:line="240" w:lineRule="auto"/>
        <w:jc w:val="both"/>
        <w:rPr>
          <w:rFonts w:ascii="Palatino Linotype" w:hAnsi="Palatino Linotype" w:cs="Arial"/>
          <w:sz w:val="24"/>
          <w:szCs w:val="24"/>
        </w:rPr>
      </w:pPr>
    </w:p>
    <w:p w:rsidR="00A71C18" w:rsidRPr="00A71C18" w:rsidRDefault="00A71C18" w:rsidP="00A71C18">
      <w:pPr>
        <w:spacing w:after="0" w:line="240" w:lineRule="auto"/>
        <w:jc w:val="both"/>
        <w:rPr>
          <w:rFonts w:ascii="Palatino Linotype" w:hAnsi="Palatino Linotype" w:cs="Arial"/>
          <w:sz w:val="24"/>
          <w:szCs w:val="24"/>
        </w:rPr>
      </w:pPr>
      <w:r w:rsidRPr="00A71C18">
        <w:rPr>
          <w:rFonts w:ascii="Palatino Linotype" w:hAnsi="Palatino Linotype" w:cs="Arial"/>
          <w:sz w:val="24"/>
          <w:szCs w:val="24"/>
        </w:rPr>
        <w:t>For the 2017 Green Hospital Awards year (for</w:t>
      </w:r>
      <w:r>
        <w:rPr>
          <w:rFonts w:ascii="Palatino Linotype" w:hAnsi="Palatino Linotype" w:cs="Arial"/>
          <w:sz w:val="24"/>
          <w:szCs w:val="24"/>
        </w:rPr>
        <w:t xml:space="preserve"> 2016 data) the MHA is the prou</w:t>
      </w:r>
      <w:r w:rsidRPr="00A71C18">
        <w:rPr>
          <w:rFonts w:ascii="Palatino Linotype" w:hAnsi="Palatino Linotype" w:cs="Arial"/>
          <w:sz w:val="24"/>
          <w:szCs w:val="24"/>
        </w:rPr>
        <w:t>d recipi</w:t>
      </w:r>
      <w:r>
        <w:rPr>
          <w:rFonts w:ascii="Palatino Linotype" w:hAnsi="Palatino Linotype" w:cs="Arial"/>
          <w:sz w:val="24"/>
          <w:szCs w:val="24"/>
        </w:rPr>
        <w:t>ent of two Awards.</w:t>
      </w:r>
    </w:p>
    <w:p w:rsidR="00A71C18" w:rsidRPr="00A71C18" w:rsidRDefault="00A71C18" w:rsidP="00A71C18">
      <w:pPr>
        <w:spacing w:after="0" w:line="240" w:lineRule="auto"/>
        <w:jc w:val="both"/>
        <w:rPr>
          <w:rFonts w:ascii="Palatino Linotype" w:hAnsi="Palatino Linotype" w:cs="Arial"/>
          <w:sz w:val="24"/>
          <w:szCs w:val="24"/>
        </w:rPr>
      </w:pPr>
    </w:p>
    <w:p w:rsidR="00A71C18" w:rsidRDefault="00A71C18" w:rsidP="00A71C18">
      <w:pPr>
        <w:spacing w:after="0" w:line="240" w:lineRule="auto"/>
        <w:jc w:val="both"/>
        <w:rPr>
          <w:rFonts w:ascii="Palatino Linotype" w:hAnsi="Palatino Linotype" w:cs="Arial"/>
          <w:sz w:val="24"/>
          <w:szCs w:val="24"/>
        </w:rPr>
      </w:pPr>
      <w:r w:rsidRPr="00A71C18">
        <w:rPr>
          <w:rFonts w:ascii="Palatino Linotype" w:hAnsi="Palatino Linotype" w:cs="Arial"/>
          <w:sz w:val="24"/>
          <w:szCs w:val="24"/>
        </w:rPr>
        <w:t xml:space="preserve">The </w:t>
      </w:r>
      <w:r w:rsidRPr="00A71C18">
        <w:rPr>
          <w:rFonts w:ascii="Palatino Linotype" w:hAnsi="Palatino Linotype" w:cs="Arial"/>
          <w:sz w:val="24"/>
          <w:szCs w:val="24"/>
          <w:u w:val="single"/>
        </w:rPr>
        <w:t>energy awards</w:t>
      </w:r>
      <w:r w:rsidRPr="00A71C18">
        <w:rPr>
          <w:rFonts w:ascii="Palatino Linotype" w:hAnsi="Palatino Linotype" w:cs="Arial"/>
          <w:b/>
          <w:bCs/>
          <w:sz w:val="24"/>
          <w:szCs w:val="24"/>
        </w:rPr>
        <w:t xml:space="preserve"> </w:t>
      </w:r>
      <w:r w:rsidRPr="00A71C18">
        <w:rPr>
          <w:rFonts w:ascii="Palatino Linotype" w:hAnsi="Palatino Linotype" w:cs="Arial"/>
          <w:sz w:val="24"/>
          <w:szCs w:val="24"/>
        </w:rPr>
        <w:t xml:space="preserve">are sponsored by the Independent Electricity System Operators and are presented to sites with the highest energy improvement scores within their respective peer group. These scores are based on energy consumption, energy use intensity, conservation policies, targets, and action plans.  </w:t>
      </w:r>
    </w:p>
    <w:p w:rsidR="00A71C18" w:rsidRDefault="00A71C18" w:rsidP="00A71C18">
      <w:pPr>
        <w:spacing w:after="0" w:line="240" w:lineRule="auto"/>
        <w:jc w:val="both"/>
        <w:rPr>
          <w:rFonts w:ascii="Palatino Linotype" w:hAnsi="Palatino Linotype" w:cs="Arial"/>
          <w:sz w:val="24"/>
          <w:szCs w:val="24"/>
        </w:rPr>
      </w:pPr>
    </w:p>
    <w:p w:rsidR="00A71C18" w:rsidRPr="00A71C18" w:rsidRDefault="00A71C18" w:rsidP="00A71C18">
      <w:pPr>
        <w:spacing w:after="0" w:line="240" w:lineRule="auto"/>
        <w:jc w:val="both"/>
        <w:rPr>
          <w:rFonts w:ascii="Palatino Linotype" w:hAnsi="Palatino Linotype" w:cs="Arial"/>
          <w:sz w:val="24"/>
          <w:szCs w:val="24"/>
        </w:rPr>
      </w:pPr>
      <w:r w:rsidRPr="00A71C18">
        <w:rPr>
          <w:rFonts w:ascii="Palatino Linotype" w:hAnsi="Palatino Linotype" w:cs="Arial"/>
          <w:b/>
          <w:bCs/>
          <w:sz w:val="24"/>
          <w:szCs w:val="24"/>
        </w:rPr>
        <w:t>Strathroy Middlesex General Hospital</w:t>
      </w:r>
      <w:r w:rsidRPr="00A71C18">
        <w:rPr>
          <w:rFonts w:ascii="Palatino Linotype" w:hAnsi="Palatino Linotype" w:cs="Arial"/>
          <w:sz w:val="24"/>
          <w:szCs w:val="24"/>
        </w:rPr>
        <w:t xml:space="preserve"> achieved the top score for Small Community Hospitals in the energy category.</w:t>
      </w:r>
      <w:r>
        <w:rPr>
          <w:rFonts w:ascii="Palatino Linotype" w:hAnsi="Palatino Linotype" w:cs="Arial"/>
          <w:sz w:val="24"/>
          <w:szCs w:val="24"/>
        </w:rPr>
        <w:t xml:space="preserve">  </w:t>
      </w:r>
      <w:r w:rsidRPr="00A71C18">
        <w:rPr>
          <w:rFonts w:ascii="Palatino Linotype" w:hAnsi="Palatino Linotype" w:cs="Arial"/>
          <w:sz w:val="24"/>
          <w:szCs w:val="24"/>
        </w:rPr>
        <w:t>SMGH demonstrated reductions in use of Gas by 14% from 2013 to 201</w:t>
      </w:r>
      <w:r w:rsidRPr="00A71C18">
        <w:rPr>
          <w:rFonts w:ascii="Palatino Linotype" w:hAnsi="Palatino Linotype" w:cs="Arial"/>
          <w:color w:val="1F497D"/>
          <w:sz w:val="24"/>
          <w:szCs w:val="24"/>
        </w:rPr>
        <w:t>6</w:t>
      </w:r>
      <w:r w:rsidRPr="00A71C18">
        <w:rPr>
          <w:rFonts w:ascii="Palatino Linotype" w:hAnsi="Palatino Linotype" w:cs="Arial"/>
          <w:sz w:val="24"/>
          <w:szCs w:val="24"/>
        </w:rPr>
        <w:t xml:space="preserve"> and Hydro by 5% for the same period. </w:t>
      </w:r>
    </w:p>
    <w:p w:rsidR="00A71C18" w:rsidRPr="00A71C18" w:rsidRDefault="00A71C18" w:rsidP="00A71C18">
      <w:pPr>
        <w:spacing w:after="0" w:line="240" w:lineRule="auto"/>
        <w:jc w:val="both"/>
        <w:rPr>
          <w:rFonts w:ascii="Palatino Linotype" w:hAnsi="Palatino Linotype" w:cs="Arial"/>
          <w:color w:val="1F497D"/>
          <w:sz w:val="24"/>
          <w:szCs w:val="24"/>
        </w:rPr>
      </w:pPr>
      <w:r w:rsidRPr="00A71C18">
        <w:rPr>
          <w:rFonts w:ascii="Palatino Linotype" w:hAnsi="Palatino Linotype" w:cs="Arial"/>
          <w:sz w:val="24"/>
          <w:szCs w:val="24"/>
        </w:rPr>
        <w:br/>
        <w:t xml:space="preserve">The </w:t>
      </w:r>
      <w:r w:rsidRPr="00A71C18">
        <w:rPr>
          <w:rFonts w:ascii="Palatino Linotype" w:hAnsi="Palatino Linotype" w:cs="Arial"/>
          <w:sz w:val="24"/>
          <w:szCs w:val="24"/>
          <w:u w:val="single"/>
        </w:rPr>
        <w:t>water awards</w:t>
      </w:r>
      <w:r w:rsidRPr="00A71C18">
        <w:rPr>
          <w:rFonts w:ascii="Palatino Linotype" w:hAnsi="Palatino Linotype" w:cs="Arial"/>
          <w:b/>
          <w:bCs/>
          <w:sz w:val="24"/>
          <w:szCs w:val="24"/>
        </w:rPr>
        <w:t xml:space="preserve"> </w:t>
      </w:r>
      <w:r w:rsidRPr="00A71C18">
        <w:rPr>
          <w:rFonts w:ascii="Palatino Linotype" w:hAnsi="Palatino Linotype" w:cs="Arial"/>
          <w:sz w:val="24"/>
          <w:szCs w:val="24"/>
        </w:rPr>
        <w:t>are</w:t>
      </w:r>
      <w:r w:rsidRPr="00A71C18">
        <w:rPr>
          <w:rFonts w:ascii="Palatino Linotype" w:hAnsi="Palatino Linotype" w:cs="Arial"/>
          <w:b/>
          <w:bCs/>
          <w:sz w:val="24"/>
          <w:szCs w:val="24"/>
        </w:rPr>
        <w:t xml:space="preserve"> </w:t>
      </w:r>
      <w:r w:rsidRPr="00A71C18">
        <w:rPr>
          <w:rFonts w:ascii="Palatino Linotype" w:hAnsi="Palatino Linotype" w:cs="Arial"/>
          <w:sz w:val="24"/>
          <w:szCs w:val="24"/>
        </w:rPr>
        <w:t>sponsored by CHES (Canadian Health Engineering Society) Ontario and a</w:t>
      </w:r>
      <w:r w:rsidRPr="00A71C18">
        <w:rPr>
          <w:rFonts w:ascii="Palatino Linotype" w:hAnsi="Palatino Linotype" w:cs="Arial"/>
          <w:sz w:val="24"/>
          <w:szCs w:val="24"/>
          <w:shd w:val="clear" w:color="auto" w:fill="FFFFFF"/>
        </w:rPr>
        <w:t>re presented to sites with the highest water use improvement scores within their respective peer group</w:t>
      </w:r>
      <w:r w:rsidRPr="00A71C18">
        <w:rPr>
          <w:rFonts w:ascii="Palatino Linotype" w:hAnsi="Palatino Linotype" w:cs="Arial"/>
          <w:sz w:val="24"/>
          <w:szCs w:val="24"/>
        </w:rPr>
        <w:t xml:space="preserve">. Top performing sites are determined by water consumption </w:t>
      </w:r>
      <w:r w:rsidRPr="00A71C18">
        <w:rPr>
          <w:rFonts w:ascii="Palatino Linotype" w:hAnsi="Palatino Linotype" w:cs="Arial"/>
          <w:sz w:val="24"/>
          <w:szCs w:val="24"/>
        </w:rPr>
        <w:lastRenderedPageBreak/>
        <w:t>(scaled for building size and number of beds).  </w:t>
      </w:r>
      <w:r>
        <w:rPr>
          <w:rFonts w:ascii="Palatino Linotype" w:hAnsi="Palatino Linotype" w:cs="Arial"/>
          <w:sz w:val="24"/>
          <w:szCs w:val="24"/>
        </w:rPr>
        <w:t xml:space="preserve">The </w:t>
      </w:r>
      <w:r w:rsidRPr="00A71C18">
        <w:rPr>
          <w:rFonts w:ascii="Palatino Linotype" w:hAnsi="Palatino Linotype" w:cs="Arial"/>
          <w:sz w:val="24"/>
          <w:szCs w:val="24"/>
        </w:rPr>
        <w:t xml:space="preserve">“water scores” are </w:t>
      </w:r>
      <w:r>
        <w:rPr>
          <w:rFonts w:ascii="Palatino Linotype" w:hAnsi="Palatino Linotype" w:cs="Arial"/>
          <w:sz w:val="24"/>
          <w:szCs w:val="24"/>
        </w:rPr>
        <w:t xml:space="preserve">also </w:t>
      </w:r>
      <w:r w:rsidRPr="00A71C18">
        <w:rPr>
          <w:rFonts w:ascii="Palatino Linotype" w:hAnsi="Palatino Linotype" w:cs="Arial"/>
          <w:sz w:val="24"/>
          <w:szCs w:val="24"/>
        </w:rPr>
        <w:t xml:space="preserve">improved by having in place water conservation policies, targets, and action plans.  </w:t>
      </w:r>
      <w:r w:rsidRPr="00A71C18">
        <w:rPr>
          <w:rFonts w:ascii="Palatino Linotype" w:hAnsi="Palatino Linotype" w:cs="Arial"/>
          <w:b/>
          <w:bCs/>
          <w:sz w:val="24"/>
          <w:szCs w:val="24"/>
        </w:rPr>
        <w:t xml:space="preserve">Four Counties Health Services </w:t>
      </w:r>
      <w:r w:rsidRPr="00A71C18">
        <w:rPr>
          <w:rFonts w:ascii="Palatino Linotype" w:hAnsi="Palatino Linotype" w:cs="Arial"/>
          <w:sz w:val="24"/>
          <w:szCs w:val="24"/>
        </w:rPr>
        <w:t xml:space="preserve">achieved the top score for Small Hospitals in the Water category. FCHS demonstrated reductions in the use of Water by 33% from 2013 to 2017.  </w:t>
      </w:r>
    </w:p>
    <w:p w:rsidR="00A71C18" w:rsidRPr="00A71C18" w:rsidRDefault="00A71C18" w:rsidP="00A71C18">
      <w:pPr>
        <w:pStyle w:val="ListParagraph"/>
        <w:ind w:left="0"/>
        <w:jc w:val="both"/>
        <w:rPr>
          <w:rFonts w:ascii="Palatino Linotype" w:hAnsi="Palatino Linotype"/>
          <w:i/>
          <w:iCs/>
          <w:color w:val="1F497D"/>
          <w:sz w:val="24"/>
          <w:szCs w:val="24"/>
          <w:lang w:val="en-US"/>
        </w:rPr>
      </w:pPr>
    </w:p>
    <w:p w:rsidR="00A71C18" w:rsidRPr="00A71C18" w:rsidRDefault="00A71C18" w:rsidP="00A71C18">
      <w:pPr>
        <w:pStyle w:val="ListParagraph"/>
        <w:ind w:left="0"/>
        <w:jc w:val="both"/>
        <w:rPr>
          <w:rFonts w:ascii="Palatino Linotype" w:hAnsi="Palatino Linotype" w:cs="Arial"/>
          <w:sz w:val="24"/>
          <w:szCs w:val="24"/>
          <w:lang w:val="en-US"/>
        </w:rPr>
      </w:pPr>
      <w:r w:rsidRPr="00A71C18">
        <w:rPr>
          <w:rFonts w:ascii="Palatino Linotype" w:hAnsi="Palatino Linotype" w:cs="Arial"/>
          <w:sz w:val="24"/>
          <w:szCs w:val="24"/>
          <w:lang w:val="en-US"/>
        </w:rPr>
        <w:t>MHA President &amp; CEO T. Stepanuik stated that</w:t>
      </w:r>
      <w:r w:rsidR="00F70A92">
        <w:rPr>
          <w:rFonts w:ascii="Palatino Linotype" w:hAnsi="Palatino Linotype" w:cs="Arial"/>
          <w:sz w:val="24"/>
          <w:szCs w:val="24"/>
          <w:lang w:val="en-US"/>
        </w:rPr>
        <w:t>,</w:t>
      </w:r>
      <w:r w:rsidRPr="00A71C18">
        <w:rPr>
          <w:rFonts w:ascii="Palatino Linotype" w:hAnsi="Palatino Linotype" w:cs="Arial"/>
          <w:sz w:val="24"/>
          <w:szCs w:val="24"/>
          <w:lang w:val="en-US"/>
        </w:rPr>
        <w:t xml:space="preserve"> </w:t>
      </w:r>
      <w:r>
        <w:rPr>
          <w:rFonts w:ascii="Palatino Linotype" w:hAnsi="Palatino Linotype" w:cs="Arial"/>
          <w:sz w:val="24"/>
          <w:szCs w:val="24"/>
          <w:lang w:val="en-US"/>
        </w:rPr>
        <w:t>“</w:t>
      </w:r>
      <w:r w:rsidRPr="00A71C18">
        <w:rPr>
          <w:rFonts w:ascii="Palatino Linotype" w:hAnsi="Palatino Linotype" w:cs="Arial"/>
          <w:sz w:val="24"/>
          <w:szCs w:val="24"/>
          <w:lang w:val="en-US"/>
        </w:rPr>
        <w:t>MHA takes great pride in making a serious commitment to achieving a greener and more sustainable future</w:t>
      </w:r>
      <w:r>
        <w:rPr>
          <w:rFonts w:ascii="Palatino Linotype" w:hAnsi="Palatino Linotype" w:cs="Arial"/>
          <w:sz w:val="24"/>
          <w:szCs w:val="24"/>
          <w:lang w:val="en-US"/>
        </w:rPr>
        <w:t>”</w:t>
      </w:r>
      <w:r w:rsidRPr="00A71C18">
        <w:rPr>
          <w:rFonts w:ascii="Palatino Linotype" w:hAnsi="Palatino Linotype" w:cs="Arial"/>
          <w:sz w:val="24"/>
          <w:szCs w:val="24"/>
          <w:lang w:val="en-US"/>
        </w:rPr>
        <w:t>.  He went on to add that</w:t>
      </w:r>
      <w:r w:rsidR="00F70A92">
        <w:rPr>
          <w:rFonts w:ascii="Palatino Linotype" w:hAnsi="Palatino Linotype" w:cs="Arial"/>
          <w:sz w:val="24"/>
          <w:szCs w:val="24"/>
          <w:lang w:val="en-US"/>
        </w:rPr>
        <w:t>,</w:t>
      </w:r>
      <w:r w:rsidRPr="00A71C18">
        <w:rPr>
          <w:rFonts w:ascii="Palatino Linotype" w:hAnsi="Palatino Linotype" w:cs="Arial"/>
          <w:sz w:val="24"/>
          <w:szCs w:val="24"/>
          <w:lang w:val="en-US"/>
        </w:rPr>
        <w:t xml:space="preserve"> “we are proud to be a recipient of two Green Hospital Awards.  This recognition hono</w:t>
      </w:r>
      <w:r>
        <w:rPr>
          <w:rFonts w:ascii="Palatino Linotype" w:hAnsi="Palatino Linotype" w:cs="Arial"/>
          <w:sz w:val="24"/>
          <w:szCs w:val="24"/>
          <w:lang w:val="en-US"/>
        </w:rPr>
        <w:t>u</w:t>
      </w:r>
      <w:r w:rsidRPr="00A71C18">
        <w:rPr>
          <w:rFonts w:ascii="Palatino Linotype" w:hAnsi="Palatino Linotype" w:cs="Arial"/>
          <w:sz w:val="24"/>
          <w:szCs w:val="24"/>
          <w:lang w:val="en-US"/>
        </w:rPr>
        <w:t>rs our commitment to energy conservation and continuous effort to benchmark energy performance and maximize energy efficiency”</w:t>
      </w:r>
      <w:r w:rsidR="00F70A92">
        <w:rPr>
          <w:rFonts w:ascii="Palatino Linotype" w:hAnsi="Palatino Linotype" w:cs="Arial"/>
          <w:sz w:val="24"/>
          <w:szCs w:val="24"/>
          <w:lang w:val="en-US"/>
        </w:rPr>
        <w:t>.</w:t>
      </w:r>
    </w:p>
    <w:p w:rsidR="00874C23" w:rsidRPr="00A71C18" w:rsidRDefault="00874C23" w:rsidP="00A71C18">
      <w:pPr>
        <w:spacing w:after="0" w:line="240" w:lineRule="auto"/>
        <w:jc w:val="both"/>
        <w:rPr>
          <w:rFonts w:ascii="Palatino Linotype" w:hAnsi="Palatino Linotype"/>
          <w:sz w:val="24"/>
          <w:szCs w:val="24"/>
        </w:rPr>
      </w:pPr>
    </w:p>
    <w:p w:rsidR="00874C23" w:rsidRPr="00A71C18" w:rsidRDefault="00874C23" w:rsidP="00A71C18">
      <w:pPr>
        <w:pStyle w:val="NoSpacing"/>
        <w:jc w:val="both"/>
        <w:rPr>
          <w:rFonts w:ascii="Palatino Linotype" w:hAnsi="Palatino Linotype"/>
          <w:sz w:val="24"/>
          <w:szCs w:val="24"/>
        </w:rPr>
      </w:pPr>
      <w:r w:rsidRPr="00A71C18">
        <w:rPr>
          <w:rFonts w:ascii="Palatino Linotype" w:hAnsi="Palatino Linotype"/>
          <w:sz w:val="24"/>
          <w:szCs w:val="24"/>
        </w:rPr>
        <w:t>About MHA:</w:t>
      </w:r>
    </w:p>
    <w:p w:rsidR="00874C23" w:rsidRPr="00A71C18" w:rsidRDefault="00874C23" w:rsidP="00A71C18">
      <w:pPr>
        <w:pStyle w:val="Default"/>
        <w:jc w:val="both"/>
        <w:rPr>
          <w:rFonts w:ascii="Palatino Linotype" w:hAnsi="Palatino Linotype" w:cs="Times New Roman"/>
        </w:rPr>
      </w:pPr>
      <w:r w:rsidRPr="00A71C18">
        <w:rPr>
          <w:rFonts w:ascii="Palatino Linotype" w:hAnsi="Palatino Linotype" w:cs="Times New Roman"/>
        </w:rPr>
        <w:t xml:space="preserve">The Middlesex Hospital Alliance (MHA) is comprised of two fully-accredited partner sites: Four Counties Health Services and Strathroy Middlesex General Hospital. </w:t>
      </w:r>
    </w:p>
    <w:p w:rsidR="00874C23" w:rsidRPr="00A71C18" w:rsidRDefault="00874C23" w:rsidP="00A71C18">
      <w:pPr>
        <w:pStyle w:val="Default"/>
        <w:jc w:val="both"/>
        <w:rPr>
          <w:rFonts w:ascii="Palatino Linotype" w:hAnsi="Palatino Linotype" w:cs="Times New Roman"/>
        </w:rPr>
      </w:pPr>
    </w:p>
    <w:p w:rsidR="00874C23" w:rsidRPr="00A71C18" w:rsidRDefault="00874C23" w:rsidP="00A71C18">
      <w:pPr>
        <w:pStyle w:val="Default"/>
        <w:jc w:val="both"/>
        <w:rPr>
          <w:rFonts w:ascii="Palatino Linotype" w:hAnsi="Palatino Linotype" w:cs="Times New Roman"/>
        </w:rPr>
      </w:pPr>
      <w:r w:rsidRPr="00A71C18">
        <w:rPr>
          <w:rFonts w:ascii="Palatino Linotype" w:hAnsi="Palatino Linotype"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A71C18" w:rsidRDefault="00874C23" w:rsidP="00A71C18">
      <w:pPr>
        <w:pStyle w:val="Default"/>
        <w:jc w:val="both"/>
        <w:rPr>
          <w:rFonts w:ascii="Palatino Linotype" w:hAnsi="Palatino Linotype" w:cs="Times New Roman"/>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552" w:rsidRDefault="00BC5552">
      <w:r>
        <w:separator/>
      </w:r>
    </w:p>
  </w:endnote>
  <w:endnote w:type="continuationSeparator" w:id="0">
    <w:p w:rsidR="00BC5552" w:rsidRDefault="00BC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552" w:rsidRDefault="00BC5552">
      <w:r>
        <w:separator/>
      </w:r>
    </w:p>
  </w:footnote>
  <w:footnote w:type="continuationSeparator" w:id="0">
    <w:p w:rsidR="00BC5552" w:rsidRDefault="00BC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CC2407">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6210E"/>
    <w:rsid w:val="00152390"/>
    <w:rsid w:val="001B3F4B"/>
    <w:rsid w:val="00366888"/>
    <w:rsid w:val="004C21C4"/>
    <w:rsid w:val="006D3CA0"/>
    <w:rsid w:val="007D2747"/>
    <w:rsid w:val="007D2B2C"/>
    <w:rsid w:val="007F760B"/>
    <w:rsid w:val="00825C75"/>
    <w:rsid w:val="00874C23"/>
    <w:rsid w:val="0089382C"/>
    <w:rsid w:val="009261B9"/>
    <w:rsid w:val="00955F14"/>
    <w:rsid w:val="00A71C18"/>
    <w:rsid w:val="00B0580B"/>
    <w:rsid w:val="00B25425"/>
    <w:rsid w:val="00B4009A"/>
    <w:rsid w:val="00B442BD"/>
    <w:rsid w:val="00B63CEA"/>
    <w:rsid w:val="00BC5552"/>
    <w:rsid w:val="00CA23F4"/>
    <w:rsid w:val="00CC231E"/>
    <w:rsid w:val="00CC2407"/>
    <w:rsid w:val="00CC44AA"/>
    <w:rsid w:val="00CC6843"/>
    <w:rsid w:val="00D439F4"/>
    <w:rsid w:val="00DD1D0E"/>
    <w:rsid w:val="00EB2ADA"/>
    <w:rsid w:val="00F64186"/>
    <w:rsid w:val="00F70A92"/>
    <w:rsid w:val="00F8223D"/>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7965C96"/>
  <w15:docId w15:val="{E305A885-8905-480F-8BC2-F9DBA38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A71C18"/>
    <w:pPr>
      <w:spacing w:after="0" w:line="240" w:lineRule="auto"/>
      <w:ind w:left="720"/>
    </w:pPr>
    <w:rPr>
      <w:rFonts w:ascii="Calibri" w:eastAsiaTheme="minorHAnsi" w:hAnsi="Calibri" w:cs="Calibri"/>
      <w:sz w:val="22"/>
      <w:szCs w:val="22"/>
      <w:lang w:val="en-CA" w:eastAsia="en-CA"/>
    </w:rPr>
  </w:style>
  <w:style w:type="paragraph" w:styleId="BalloonText">
    <w:name w:val="Balloon Text"/>
    <w:basedOn w:val="Normal"/>
    <w:link w:val="BalloonTextChar"/>
    <w:semiHidden/>
    <w:unhideWhenUsed/>
    <w:rsid w:val="00A71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71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557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allianc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4C6A-0E81-4C02-947B-66450E9D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465</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5</cp:revision>
  <cp:lastPrinted>2018-07-17T12:06:00Z</cp:lastPrinted>
  <dcterms:created xsi:type="dcterms:W3CDTF">2018-07-17T11:59:00Z</dcterms:created>
  <dcterms:modified xsi:type="dcterms:W3CDTF">2018-07-18T18:55:00Z</dcterms:modified>
</cp:coreProperties>
</file>